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Web Components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SCRPT-198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Web Components training course teaches participants how to use web components to create robust, modern web solutions that seamlessly integrate with their existing web development workflow. This course also covers HTML, CSS, JavaScript, TypeScript, the Shadow DOM, custom elements, templates, and unit testing.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have experience with modern JavaScript or TypeScript and web browser programming.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free, personal GitHub account to access the courseware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Node.js and Visual Studio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NPM Packages and Visual Studio Extensions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If students cannot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concept of Web Components and their role in solving web development challenges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fundamental web development languages, including HTML, CSS, JavaScript, and TypeScript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Shadow DOM in web components, shadow host, shadow tree, and shadow root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custom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and register custom element classes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lifecycle callbacks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templates in web components, including the template element and slot element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unit testing in web components, set up Jest and TypeScript, and create effective unit test scaffolding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are Web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problems do Web Components solve?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W3C Standards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Shadow DOM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HTML Template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HTML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Elements &amp; Custom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Attributes &amp; Custom Attributes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Semantic Meaning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and Slot Elements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Selectors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Id, Class, Element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Attribute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Pseudo-Class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Combinators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Specificity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Scoping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Layout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Box Model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FlexBox</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Grid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 &amp; Position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Styling Fonts &amp; Colors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JavaScript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Prototype Inheritance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and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TypeScript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Webpack &amp; Babel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API Review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DOM Manipulation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Append/Remove/Modify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Cloning Elements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Http Requests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XmlHttpRequest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Bubbling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Capturing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Registering Event Handlers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Triggering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 Default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Stop Propagation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Components: Custom Elements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new Custom Element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Register Custom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 Callbacks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Connected Callback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Disconnected Callback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Adopted Callback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Attribute Changed Callback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Transpilers and Classes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Components: Shadow DOM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Shadow Host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Shadow Tree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Shadow Boundary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Shadow Root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Attach a Shadow Root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 vs. Closed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Components: Template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Usage with Web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Slot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Content with Slots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Components: Unit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Jest and TypeScript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Unit Test Scaffolding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 Suite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Test</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Setup/Teardown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Spies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