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Conversational AI Applications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NVDA-100EC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Building Conversational AI Applications training course teaches attendees how to build AI-powered experiences like virtual assistants, chatbots, and smart speakers. In addition, participants learn how to leverage conversational AI services, including transcription, NLP, and speech, using the NVIDIA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Riva 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Python programming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 understanding of a deep learning framework, such as TensorFlow, PyTorch, or Keras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neural networks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official courseware from NVIDIA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automatic speech recognition (ASR) pipelines and critical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Craft custom acoustic models, explore decoders, and add punctuation and language identification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Uncover the secrets of text-to-speech (TTS) pipelines and customize pronunciations for natural-sounding interactions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ASR, NLP (Natural Language Processing), and TTS into a full pipeline and deploy it on the NVIDIA Riva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performance, tackle scaling issues, and master Kubernetes cluster deployments for real-world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Conversational AI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conversational AI landscape and gain a deeper understanding of the key components of ASR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through an ASR model example from audio to spectrogram to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decoders, customizations, and additional models, including inverse text normalization (ITN), punctuation and capitalization, and language identification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Riva ASR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Customized Conversational AI Pipelines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key components of the TTS pipeline and full pipeline customizations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spectrogram generator model and the vocoder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text normalization and grapheme to phoneme (G2P) conversion to customize pronunciations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full ASR-NLP-TTS custom pipeline in Riva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Inference and Deployment Challenges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challenges related to performance, optimization, and scaling in the production deployment of conversational AI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an understanding of the inference deployment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non-functional requirements and their implications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Helm chart to deploy a conversational AI application with a Kubernetes cluster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