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GraphQL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RCT-134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GraphQL training teaches attendees GraphQL basics, both backend (server-side handling of GraphQL requests) and frontend (web UI using React). For the backend, this class uses Node.js, TypeScript, and Apollo Server. For the front end, the course uses React, TypeScript, and Apollo Client.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be familiar with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Modern JavaScript and/or TypeScript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basics of HTTP and REST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Node.js and asynchronous programming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React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GraphQL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 and/or Firefox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 including Node.js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Master the GraphQL language and syntax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GraphQL schemas and the GraphQL SDL (schema definition language)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backend services using GraphQL and Node.js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Send queries and mutations to any GraphQL service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GraphQL into a web-based frontend application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GraphQL: Query Language and a Type System</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Unlike REST, GraphQL uses a Single Endpoint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The Simplest Type: Scalars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Add Comments to a Query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Types: Scalars, Objects, Lists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GraphQL Playground (Ctrl+space to show available fields; Cmd+click to GTD)</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A GraphQL API Queried Using Plain HTTP POST (curl/fetch)</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Schema Definition Language (SDL)</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a GraphQL Server (typeDefs and resolvers)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Deeply Nested Field Selections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Query Arguments (e.g., task ID)</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Aliases (e.g., the same field with different params)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Multiple Queries Within a single request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Argument/Parameter Defaults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Named Queries (typically use UpperCamelCase)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Mutations (e.g., createAccount)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Query Variables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Async Resolvers; Persisting Data to a Database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Custom Resolver Chains for Deep Nesting and Circular Relationships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Context, Headers, and Auth</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Union Types and Inline Fragments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typename Field Implicit on all Types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GraphQL Interfaces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Frontend GraphQL Applications with React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Apollo Client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Tagged template literals and gql``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 to pass dynamic input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Params received at `mutation()` level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React hooks: useQuery and useMutation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Refresh a query after a mutation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Mutations for authentication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Context in Apollo Server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Fragments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