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12.0 -->
  <w:body>
    <w:p w:rsidR="00A77B3E">
      <w:r>
        <w:drawing>
          <wp:inline>
            <wp:extent cx="2538989" cy="1094234"/>
            <wp:docPr id="100001" nam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001" name=""/>
                    <pic:cNvPicPr>
                      <a:picLocks noChangeAspect="1"/>
                    </pic:cNvPicPr>
                  </pic:nvPicPr>
                  <pic:blipFill>
                    <a:blip xmlns:r="http://schemas.openxmlformats.org/officeDocument/2006/relationships" r:embed="rId4"/>
                    <a:stretch>
                      <a:fillRect/>
                    </a:stretch>
                  </pic:blipFill>
                  <pic:spPr>
                    <a:xfrm>
                      <a:off x="0" y="0"/>
                      <a:ext cx="2538989" cy="1094234"/>
                    </a:xfrm>
                    <a:prstGeom prst="rect">
                      <a:avLst/>
                    </a:prstGeom>
                  </pic:spPr>
                </pic:pic>
              </a:graphicData>
            </a:graphic>
          </wp:inline>
        </w:drawing>
      </w:r>
    </w:p>
    <w:p w:rsidR="00A77B3E"/>
    <w:p w:rsidR="00A77B3E">
      <w:pPr>
        <w:keepNext/>
        <w:spacing w:after="200"/>
        <w:rPr>
          <w:rFonts w:ascii="Verdana" w:eastAsia="Verdana" w:hAnsi="Verdana" w:cs="Verdana"/>
          <w:b/>
          <w:sz w:val="28"/>
        </w:rPr>
      </w:pPr>
      <w:r>
        <w:rPr>
          <w:rFonts w:ascii="Verdana" w:eastAsia="Verdana" w:hAnsi="Verdana" w:cs="Verdana"/>
          <w:b/>
          <w:sz w:val="28"/>
        </w:rPr>
        <w:t>Microsoft Power Platform Fundamentals (PL-900)</w:t>
      </w:r>
    </w:p>
    <w:p w:rsidR="00A77B3E">
      <w:pPr>
        <w:keepNext/>
        <w:spacing w:after="200"/>
        <w:rPr>
          <w:rFonts w:ascii="Verdana" w:eastAsia="Verdana" w:hAnsi="Verdana" w:cs="Verdana"/>
          <w:b w:val="0"/>
          <w:sz w:val="17"/>
        </w:rPr>
      </w:pPr>
      <w:r>
        <w:rPr>
          <w:rFonts w:ascii="Verdana" w:eastAsia="Verdana" w:hAnsi="Verdana" w:cs="Verdana"/>
          <w:b/>
          <w:sz w:val="17"/>
        </w:rPr>
        <w:t xml:space="preserve">Course Number: </w:t>
      </w:r>
      <w:r>
        <w:rPr>
          <w:rFonts w:ascii="Verdana" w:eastAsia="Verdana" w:hAnsi="Verdana" w:cs="Verdana"/>
          <w:b w:val="0"/>
          <w:sz w:val="17"/>
        </w:rPr>
        <w:t>MOC-PL-900</w:t>
        <w:br/>
      </w:r>
      <w:r>
        <w:rPr>
          <w:rFonts w:ascii="Verdana" w:eastAsia="Verdana" w:hAnsi="Verdana" w:cs="Verdana"/>
          <w:b/>
          <w:sz w:val="17"/>
        </w:rPr>
        <w:t xml:space="preserve">Duration: </w:t>
      </w:r>
      <w:r>
        <w:rPr>
          <w:rFonts w:ascii="Verdana" w:eastAsia="Verdana" w:hAnsi="Verdana" w:cs="Verdana"/>
          <w:b w:val="0"/>
          <w:sz w:val="17"/>
        </w:rPr>
        <w:t>1 day</w:t>
      </w:r>
    </w:p>
    <w:p w:rsidR="00A77B3E">
      <w:pPr>
        <w:keepNext/>
        <w:spacing w:after="200"/>
        <w:rPr>
          <w:rFonts w:ascii="Verdana" w:eastAsia="Verdana" w:hAnsi="Verdana" w:cs="Verdana"/>
          <w:b/>
          <w:sz w:val="20"/>
        </w:rPr>
      </w:pPr>
      <w:r>
        <w:rPr>
          <w:rFonts w:ascii="Verdana" w:eastAsia="Verdana" w:hAnsi="Verdana" w:cs="Verdana"/>
          <w:b/>
          <w:sz w:val="20"/>
        </w:rPr>
        <w:t>Overview</w:t>
      </w:r>
    </w:p>
    <w:p w:rsidR="00A77B3E">
      <w:pPr>
        <w:keepNext w:val="0"/>
        <w:spacing w:before="0" w:after="0"/>
        <w:rPr>
          <w:rFonts w:ascii="Verdana" w:eastAsia="Verdana" w:hAnsi="Verdana" w:cs="Verdana"/>
          <w:b w:val="0"/>
          <w:sz w:val="20"/>
        </w:rPr>
      </w:pPr>
      <w:r>
        <w:rPr>
          <w:rFonts w:ascii="Verdana" w:eastAsia="Verdana" w:hAnsi="Verdana" w:cs="Verdana"/>
          <w:b w:val="0"/>
          <w:sz w:val="20"/>
        </w:rPr>
        <w:t xml:space="preserve">This Microsoft Power Platform Fundamentals (PL-900) training course teaches attendees the business value and product capabilities of Microsoft Power Platform. Attendees learn how to automate business processes, analyze data to produce business insights, and act more effectively by creating simple apps. This course prepares students for the </w:t>
      </w:r>
      <w:hyperlink r:id="rId5" w:tgtFrame="_blank" w:history="1">
        <w:r>
          <w:rPr>
            <w:rFonts w:ascii="Verdana" w:eastAsia="Verdana" w:hAnsi="Verdana" w:cs="Verdana"/>
            <w:b w:val="0"/>
            <w:sz w:val="20"/>
          </w:rPr>
          <w:t>PL-900 exam</w:t>
        </w:r>
      </w:hyperlink>
      <w:r>
        <w:rPr>
          <w:rFonts w:ascii="Verdana" w:eastAsia="Verdana" w:hAnsi="Verdana" w:cs="Verdana"/>
          <w:b w:val="0"/>
          <w:sz w:val="20"/>
        </w:rPr>
        <w:t xml:space="preserve"> for which every attendee receives a voucher.</w:t>
      </w:r>
    </w:p>
    <w:p w:rsidR="00A77B3E">
      <w:pPr>
        <w:keepNext/>
        <w:spacing w:before="200" w:after="200"/>
        <w:rPr>
          <w:rFonts w:ascii="Verdana" w:eastAsia="Verdana" w:hAnsi="Verdana" w:cs="Verdana"/>
          <w:b/>
          <w:sz w:val="20"/>
        </w:rPr>
      </w:pPr>
      <w:r>
        <w:rPr>
          <w:rFonts w:ascii="Verdana" w:eastAsia="Verdana" w:hAnsi="Verdana" w:cs="Verdana"/>
          <w:b/>
          <w:sz w:val="20"/>
        </w:rPr>
        <w:t>Prerequisites</w:t>
      </w:r>
    </w:p>
    <w:p w:rsidR="00A77B3E">
      <w:pPr>
        <w:keepNext w:val="0"/>
        <w:spacing w:before="0" w:after="0"/>
        <w:rPr>
          <w:rFonts w:ascii="Verdana" w:eastAsia="Verdana" w:hAnsi="Verdana" w:cs="Verdana"/>
          <w:b w:val="0"/>
          <w:sz w:val="20"/>
        </w:rPr>
      </w:pPr>
      <w:r>
        <w:rPr>
          <w:rFonts w:ascii="Verdana" w:eastAsia="Verdana" w:hAnsi="Verdana" w:cs="Verdana"/>
          <w:b w:val="0"/>
          <w:sz w:val="20"/>
        </w:rPr>
        <w:t>No prior experience is presumed.</w:t>
      </w:r>
    </w:p>
    <w:p w:rsidR="00A77B3E">
      <w:pPr>
        <w:keepNext/>
        <w:spacing w:before="200" w:after="200"/>
        <w:rPr>
          <w:rFonts w:ascii="Verdana" w:eastAsia="Verdana" w:hAnsi="Verdana" w:cs="Verdana"/>
          <w:b/>
          <w:sz w:val="20"/>
        </w:rPr>
      </w:pPr>
      <w:r>
        <w:rPr>
          <w:rFonts w:ascii="Verdana" w:eastAsia="Verdana" w:hAnsi="Verdana" w:cs="Verdana"/>
          <w:b/>
          <w:sz w:val="20"/>
        </w:rPr>
        <w:t>Materials</w:t>
      </w:r>
    </w:p>
    <w:p w:rsidR="00A77B3E">
      <w:pPr>
        <w:keepNext w:val="0"/>
        <w:spacing w:before="0" w:after="0"/>
        <w:rPr>
          <w:rFonts w:ascii="Verdana" w:eastAsia="Verdana" w:hAnsi="Verdana" w:cs="Verdana"/>
          <w:b w:val="0"/>
          <w:sz w:val="20"/>
        </w:rPr>
      </w:pPr>
      <w:r>
        <w:rPr>
          <w:rFonts w:ascii="Verdana" w:eastAsia="Verdana" w:hAnsi="Verdana" w:cs="Verdana"/>
          <w:b w:val="0"/>
          <w:sz w:val="20"/>
        </w:rPr>
        <w:t>All MS Power Platform training students receive Microsoft official courseware.</w:t>
      </w:r>
    </w:p>
    <w:p w:rsidR="00A77B3E">
      <w:pPr>
        <w:keepNext w:val="0"/>
        <w:spacing w:before="0" w:after="0"/>
        <w:rPr>
          <w:rFonts w:ascii="Verdana" w:eastAsia="Verdana" w:hAnsi="Verdana" w:cs="Verdana"/>
          <w:b w:val="0"/>
          <w:sz w:val="20"/>
        </w:rPr>
      </w:pPr>
      <w:r>
        <w:rPr>
          <w:rFonts w:ascii="Verdana" w:eastAsia="Verdana" w:hAnsi="Verdana" w:cs="Verdana"/>
          <w:b w:val="0"/>
          <w:sz w:val="20"/>
        </w:rPr>
        <w:t>For all Microsoft Official Courses taught in their entirety that have a corresponding certification exam, an exam voucher is included for each participant.</w:t>
      </w:r>
    </w:p>
    <w:p w:rsidR="00A77B3E">
      <w:pPr>
        <w:keepNext/>
        <w:spacing w:before="200" w:after="200"/>
        <w:rPr>
          <w:rFonts w:ascii="Verdana" w:eastAsia="Verdana" w:hAnsi="Verdana" w:cs="Verdana"/>
          <w:b/>
          <w:sz w:val="20"/>
        </w:rPr>
      </w:pPr>
      <w:r>
        <w:rPr>
          <w:rFonts w:ascii="Verdana" w:eastAsia="Verdana" w:hAnsi="Verdana" w:cs="Verdana"/>
          <w:b/>
          <w:sz w:val="20"/>
        </w:rPr>
        <w:t>Software Needed on Each Student PC</w:t>
      </w:r>
    </w:p>
    <w:p w:rsidR="00A77B3E">
      <w:pPr>
        <w:keepNext w:val="0"/>
        <w:spacing w:before="0" w:after="0"/>
        <w:rPr>
          <w:rFonts w:ascii="Verdana" w:eastAsia="Verdana" w:hAnsi="Verdana" w:cs="Verdana"/>
          <w:b w:val="0"/>
          <w:sz w:val="20"/>
        </w:rPr>
      </w:pPr>
      <w:r>
        <w:rPr>
          <w:rFonts w:ascii="Verdana" w:eastAsia="Verdana" w:hAnsi="Verdana" w:cs="Verdana"/>
          <w:b w:val="0"/>
          <w:sz w:val="20"/>
        </w:rPr>
        <w:t>Attendees will not need to install any software on their computer for this class. The class will be conducted in a remote environment that Accelebrate will provide; students will only need a local computer with a web browser and a stable Internet connection. Any recent version of Microsoft Edge, Mozilla Firefox, or Google Chrome will be fine.</w:t>
      </w:r>
    </w:p>
    <w:p w:rsidR="00A77B3E">
      <w:pPr>
        <w:keepNext/>
        <w:spacing w:before="200" w:after="200"/>
        <w:rPr>
          <w:rFonts w:ascii="Verdana" w:eastAsia="Verdana" w:hAnsi="Verdana" w:cs="Verdana"/>
          <w:b/>
          <w:sz w:val="20"/>
        </w:rPr>
      </w:pPr>
      <w:r>
        <w:rPr>
          <w:rFonts w:ascii="Verdana" w:eastAsia="Verdana" w:hAnsi="Verdana" w:cs="Verdana"/>
          <w:b/>
          <w:sz w:val="20"/>
        </w:rPr>
        <w:t>Objectives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Describe the Power Platform components: Power Apps, Power BI, and Microsoft Automate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Build and customize a canvas app from scratch</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Create model-driven apps with little or no code</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Automate to create repeatable flows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Use Power BI to easily build reports and dashboards with interactive visualizations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Leverage Power Automate to build a workflow to help improve productivity and simplify tasks</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Analyze, visualize, and collaborate on data</w:t>
      </w:r>
    </w:p>
    <w:p w:rsidR="00A77B3E">
      <w:pPr>
        <w:keepNext w:val="0"/>
        <w:numPr>
          <w:ilvl w:val="0"/>
          <w:numId w:val="1"/>
        </w:numPr>
        <w:spacing w:before="0" w:after="0"/>
        <w:ind w:left="720" w:hanging="360"/>
        <w:jc w:val="left"/>
        <w:rPr>
          <w:rFonts w:ascii="Verdana" w:eastAsia="Verdana" w:hAnsi="Verdana" w:cs="Verdana"/>
          <w:b w:val="0"/>
          <w:sz w:val="20"/>
        </w:rPr>
      </w:pPr>
      <w:r>
        <w:rPr>
          <w:rFonts w:ascii="Verdana" w:eastAsia="Verdana" w:hAnsi="Verdana" w:cs="Verdana"/>
          <w:b w:val="0"/>
          <w:sz w:val="20"/>
        </w:rPr>
        <w:t>Implement simple solutions with Power Apps, Power Automate, Power BI, and Power Virtual Agents</w:t>
      </w:r>
    </w:p>
    <w:p w:rsidR="00A77B3E">
      <w:pPr>
        <w:keepNext/>
        <w:spacing w:before="200" w:after="200"/>
        <w:rPr>
          <w:rFonts w:ascii="Verdana" w:eastAsia="Verdana" w:hAnsi="Verdana" w:cs="Verdana"/>
          <w:b/>
          <w:sz w:val="20"/>
        </w:rPr>
      </w:pPr>
      <w:r>
        <w:rPr>
          <w:rFonts w:ascii="Verdana" w:eastAsia="Verdana" w:hAnsi="Verdana" w:cs="Verdana"/>
          <w:b/>
          <w:sz w:val="20"/>
        </w:rPr>
        <w:t>Outline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Microsoft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What is the Business Value of the Microsoft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Identifying Foundational Components of Microsoft Power Platform</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Power Apps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a Canvas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a Model-Driven App</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Power Automate</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an Automated Solution</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Capabilities of Microsoft Power BI</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Building a Dashboard</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Introduction to Power Virtual Agents</w:t>
      </w:r>
    </w:p>
    <w:p w:rsidR="00A77B3E">
      <w:pPr>
        <w:keepNext w:val="0"/>
        <w:numPr>
          <w:ilvl w:val="0"/>
          <w:numId w:val="2"/>
        </w:numPr>
        <w:spacing w:before="0" w:after="0"/>
        <w:ind w:left="720" w:hanging="360"/>
        <w:jc w:val="left"/>
        <w:rPr>
          <w:rFonts w:ascii="Verdana" w:eastAsia="Verdana" w:hAnsi="Verdana" w:cs="Verdana"/>
          <w:b w:val="0"/>
          <w:sz w:val="20"/>
        </w:rPr>
      </w:pPr>
      <w:r>
        <w:rPr>
          <w:rFonts w:ascii="Verdana" w:eastAsia="Verdana" w:hAnsi="Verdana" w:cs="Verdana"/>
          <w:b w:val="0"/>
          <w:sz w:val="20"/>
        </w:rPr>
        <w:t>Conclusion</w:t>
      </w:r>
    </w:p>
    <w:p w:rsidR="00A77B3E">
      <w:pPr>
        <w:keepNext w:val="0"/>
        <w:spacing w:before="200" w:after="200"/>
        <w:rPr>
          <w:rFonts w:ascii="Verdana" w:eastAsia="Verdana" w:hAnsi="Verdana" w:cs="Verdana"/>
          <w:b w:val="0"/>
          <w:sz w:val="20"/>
        </w:rPr>
      </w:pPr>
    </w:p>
    <w:sectPr>
      <w:footerReference w:type="default" r:id="rId6"/>
      <w:pgSz w:w="12240" w:h="15840"/>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rPr>
        <w:rFonts w:ascii="Times New Roman" w:eastAsia="Times New Roman" w:hAnsi="Times New Roman" w:cs="Times New Roman"/>
        <w:sz w:val="20"/>
      </w:rPr>
    </w:pPr>
    <w:r>
      <w:rPr>
        <w:rFonts w:ascii="Times New Roman" w:eastAsia="Times New Roman" w:hAnsi="Times New Roman" w:cs="Times New Roman"/>
        <w:sz w:val="20"/>
      </w:rPr>
      <w:t>Copyright ©2003-2024 Accelebrate, LLC. Some outlines may contain content from our courseware partners; such content is protected by these partners' copyrights. All trademarks are owned by their respective owners.</w:t>
    </w:r>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2"/>
    <w:multiLevelType w:val="hybridMultilevel"/>
    <w:tmpl w:val="00000002"/>
    <w:lvl w:ilvl="0">
      <w:start w:val="1"/>
      <w:numFmt w:val="bullet"/>
      <w:lvlText w:val=""/>
      <w:lvlJc w:val="left"/>
      <w:pPr>
        <w:ind w:left="720" w:hanging="360"/>
      </w:pPr>
      <w:rPr>
        <w:rFonts w:ascii="Symbol" w:hAnsi="Symbol"/>
      </w:rPr>
    </w:lvl>
    <w:lvl w:ilvl="1">
      <w:start w:val="1"/>
      <w:numFmt w:val="bullet"/>
      <w:lvlText w:val="o"/>
      <w:lvlJc w:val="left"/>
      <w:pPr>
        <w:tabs>
          <w:tab w:val="num" w:pos="1440"/>
        </w:tabs>
        <w:ind w:left="1440" w:hanging="360"/>
      </w:pPr>
      <w:rPr>
        <w:rFonts w:ascii="Courier New" w:hAnsi="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rPr>
    </w:lvl>
    <w:lvl w:ilvl="8">
      <w:start w:val="1"/>
      <w:numFmt w:val="bullet"/>
      <w:lvlText w:val=""/>
      <w:lvlJc w:val="left"/>
      <w:pPr>
        <w:tabs>
          <w:tab w:val="num" w:pos="6480"/>
        </w:tabs>
        <w:ind w:left="6480" w:hanging="360"/>
      </w:pPr>
      <w:rPr>
        <w:rFonts w:ascii="Wingdings" w:hAnsi="Wingdings"/>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image" Target="media/image1.png" /><Relationship Id="rId5" Type="http://schemas.openxmlformats.org/officeDocument/2006/relationships/hyperlink" Target="https://docs.microsoft.com/en-us/learn/certifications/exams/PL-900" TargetMode="External" /><Relationship Id="rId6" Type="http://schemas.openxmlformats.org/officeDocument/2006/relationships/footer" Target="footer1.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